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PT</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ANEXO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«ANEXO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INSTRUÇÕES SOBRE O REPORTE DOS FUNDOS PRÓPRIOS E DOS REQUISITOS DE FUNDOS PRÓPRIOS</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PARTE II: INSTRUÇÕES RESPEITANTES AOS MODELOS</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Risco de crédito de contraparte (CCR)</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Âmbito dos modelos de risco de crédito de contraparte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119</w:t>
      </w:r>
      <w:r>
        <w:fldChar w:fldCharType="end"/>
      </w:r>
      <w:r>
        <w:t>. Os modelos de risco de crédito de contraparte abrangem as informações sobre posições em risco sujeitas ao risco de crédito de contraparte em aplicação da parte III, título II, capítulos 4 e 6, do Regulamento (UE) n.º 575/2013.</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120</w:t>
      </w:r>
      <w:r>
        <w:fldChar w:fldCharType="end"/>
      </w:r>
      <w:r>
        <w:t xml:space="preserve">. Os modelos excluem os requisitos de fundos próprios para efeitos de risco de ajustamento da avaliação de crédito (CVA) (artigo 92.º, n.º 3, alínea d), e parte III, título VI, do Regulamento (UE) n.º 575/2013), que são reportados no modelo do risco de CVA.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121</w:t>
      </w:r>
      <w:r>
        <w:fldChar w:fldCharType="end"/>
      </w:r>
      <w:r>
        <w:t>. As posições em risco de crédito de contraparte sobre uma contraparte central (parte III, título II, capítulo 4, e capítulo 6, secção 9, do Regulamento (UE) n.º 575/2013) devem ser incluídas nos valores do CCR, salvo disposição em contrário. No entanto, as contribuições para fundos de incumprimento calculadas nos termos dos artigos 307.º a 310.º do Regulamento (UE) n.º 575/2013 não podem ser reportadas nos modelos de risco de crédito de contraparte, salvo no modelo C 34.10, mais particularmente, nas linhas correspondentes. De forma geral, os montantes das posições ponderadas pelo risco das contribuições para fundos de incumprimento são diretamente reportados no modelo C 02.00, linha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Dimensão das atividades em derivados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Generalidades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122</w:t>
      </w:r>
      <w:r>
        <w:fldChar w:fldCharType="end"/>
      </w:r>
      <w:r>
        <w:t xml:space="preserve">. Nos termos do artigo 273.º-A do Regulamento (UE) n.º 575/2013, as instituições podem calcular o valor das posições em risco das suas posições em derivados de acordo com o método estabelecido na parte III, título II, capítulo 6, secção 4 ou 5, do Regulamento (UE) n.º 575/2013, contanto que a dimensão das atividades patrimoniais e extrapatrimoniais seja igual ou inferior aos limiares pré-definidos, respetivamente. A avaliação correspondente deve ser realizada </w:t>
      </w:r>
      <w:r>
        <w:lastRenderedPageBreak/>
        <w:t>mensalmente, utilizando os dados no último dia do mês. O presente modelo proporciona informações sobre o cumprimento dos referidos limiares e, de modo mais geral, informações importantes sobre a dimensão das atividades em derivados.</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123</w:t>
      </w:r>
      <w:r>
        <w:fldChar w:fldCharType="end"/>
      </w:r>
      <w:r>
        <w:t>. As indicações «Mês 1», «Mês 2», «Mês 3» dizem respeito ao primeiro, segundo e último meses, respetivamente, do trimestre objeto de reporte. Após 28 de junho de 2021, só devem ser reportadas informações relativas ao fins dos meses.</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Instruções relativas a posições específicas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Colunas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DERIVADOS LONGAS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273.º-A, n.º 3, do Regulamento (UE) n.º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Deve ser reportada a soma dos valores de mercado absolutos de posições em derivados longas no último dia do mês.</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DERIVADOS CURTAS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273.º-A, n.º 3, do Regulamento (UE) n.º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Deve ser reportada a soma dos valores de mercado absolutos de posições em derivados curtas no último dia do mês.</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273.º-A, n.º 3, alínea b), </w:t>
            </w:r>
            <w:r>
              <w:rPr>
                <w:rFonts w:ascii="Times New Roman" w:hAnsi="Times New Roman"/>
                <w:sz w:val="24"/>
              </w:rPr>
              <w:t>do Regulamento (UE) n.º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A soma do valor absoluto das posições em derivados longas e das posições em derivados curtas.</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Linhas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Dimensão das atividades em derivados</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Artigo 273.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-A,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3, </w:t>
            </w:r>
            <w:r>
              <w:rPr>
                <w:rFonts w:ascii="Times New Roman" w:hAnsi="Times New Roman"/>
                <w:sz w:val="24"/>
              </w:rPr>
              <w:t>do Regulamento (UE) n.</w:t>
            </w:r>
            <w:r>
              <w:rPr>
                <w:rFonts w:ascii="Times New Roman" w:hAnsi="Times New Roman"/>
                <w:sz w:val="24"/>
                <w:vertAlign w:val="superscript"/>
              </w:rPr>
              <w:t>o</w:t>
            </w:r>
            <w:r>
              <w:rPr>
                <w:rFonts w:ascii="Times New Roman" w:hAnsi="Times New Roman"/>
                <w:sz w:val="24"/>
              </w:rPr>
              <w:t xml:space="preserve">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Devem ser incluídos todos os derivados patrimoniais e extrapatrimoniais, exceto derivados de crédito que sejam reconhecidos como coberturas internas de posições em risco de crédito da carteira bancária.</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patrimoniais e extrapatrimoniais</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273.º-A, n.º 3, alíneas a) e b), </w:t>
            </w:r>
            <w:r>
              <w:rPr>
                <w:rFonts w:ascii="Times New Roman" w:hAnsi="Times New Roman"/>
                <w:sz w:val="24"/>
              </w:rPr>
              <w:t>do Regulamento (UE) n.º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ser reportado o valor de mercado total de posições em derivados patrimoniais e extrapatrimoniais no último dia do mês.</w:t>
            </w:r>
            <w:r>
              <w:rPr>
                <w:rFonts w:ascii="Times New Roman" w:hAnsi="Times New Roman"/>
                <w:sz w:val="24"/>
              </w:rPr>
              <w:t xml:space="preserve"> Caso, nessa data, não seja possível determinar o valor de mercado de uma posição, as instituições devem utilizar um valor justo da posição nessa data. Caso, nessa data, não seja possível determinar o </w:t>
            </w:r>
            <w:r>
              <w:rPr>
                <w:rFonts w:ascii="Times New Roman" w:hAnsi="Times New Roman"/>
                <w:sz w:val="24"/>
              </w:rPr>
              <w:lastRenderedPageBreak/>
              <w:t>valor de mercado ou o justo valor de uma posição, as instituições devem utilizar o valor de mercado ou justo valor mais recente da posição.</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Derivados de crédito que sejam reconhecidos como coberturas internas de posições em risco de crédito da carteira bancária</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273.º-A, n.º 3, alínea c), </w:t>
            </w:r>
            <w:r>
              <w:rPr>
                <w:rFonts w:ascii="Times New Roman" w:hAnsi="Times New Roman"/>
                <w:sz w:val="24"/>
              </w:rPr>
              <w:t>do Regulamento (UE) n.º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O valor de mercado total dos derivados de crédito que sejam reconhecidos como coberturas internas de posições em risco de crédito da carteira bancária.</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dos ativos</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total do ativo calculado de acordo com as normas contabilísticas aplicáveis.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Para o relato consolidado, as instituições devem reportar o total do ativo usando o perímetro de consolidação prudencial de acordo com a parte I, título II, capítulo 2, secção 2, </w:t>
            </w:r>
            <w:r>
              <w:rPr>
                <w:rFonts w:ascii="Times New Roman" w:hAnsi="Times New Roman"/>
                <w:sz w:val="24"/>
              </w:rPr>
              <w:t>do Regulamento (UE) n.º 575/2013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Percentagem do total do ativo</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Rácio a calcular tendo em conta a dimensão das atividades em derivados (linha 0010) a dividir pelo total do ativo (linha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DERROGAÇÃO DE ACORDO COM O ARTIGO 273.º-A, N.º 4, DO REGULAMENTO (UE) N.º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As condições do artigo 273.º-A, n.º 4, </w:t>
            </w:r>
            <w:r>
              <w:rPr>
                <w:rFonts w:ascii="Times New Roman" w:hAnsi="Times New Roman"/>
                <w:sz w:val="24"/>
              </w:rPr>
              <w:t>do Regulamento (UE) n.º 575/2013</w:t>
            </w:r>
            <w:r>
              <w:rPr>
                <w:rStyle w:val="InstructionsTabelleberschrift"/>
                <w:rFonts w:ascii="Times New Roman" w:hAnsi="Times New Roman"/>
                <w:sz w:val="24"/>
              </w:rPr>
              <w:t xml:space="preserve"> estão cumpridas, incluindo a aprovação da autoridade competente?</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-A,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4, </w:t>
            </w:r>
            <w:r>
              <w:rPr>
                <w:rFonts w:ascii="Times New Roman" w:hAnsi="Times New Roman"/>
                <w:sz w:val="24"/>
              </w:rPr>
              <w:t>do Regulamento (UE) n.</w:t>
            </w:r>
            <w:r>
              <w:rPr>
                <w:rFonts w:ascii="Times New Roman" w:hAnsi="Times New Roman"/>
                <w:sz w:val="24"/>
                <w:vertAlign w:val="superscript"/>
              </w:rPr>
              <w:t>o</w:t>
            </w:r>
            <w:r>
              <w:rPr>
                <w:rFonts w:ascii="Times New Roman" w:hAnsi="Times New Roman"/>
                <w:sz w:val="24"/>
              </w:rPr>
              <w:t xml:space="preserve">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ultrapassem os limiares para efeitos de utilização de um método simplificado para o risco de crédito de contraparte, mas ainda utilizem uma delas ao abrigo do artigo 273.º-A, n.º 4, </w:t>
            </w:r>
            <w:r>
              <w:rPr>
                <w:rFonts w:ascii="Times New Roman" w:hAnsi="Times New Roman"/>
                <w:sz w:val="24"/>
              </w:rPr>
              <w:t xml:space="preserve">do Regulamento (UE) n.º 575/2013, </w:t>
            </w:r>
            <w:r>
              <w:rPr>
                <w:rStyle w:val="InstructionsTabelleberschrift"/>
                <w:rFonts w:ascii="Times New Roman" w:hAnsi="Times New Roman"/>
                <w:b w:val="0"/>
                <w:sz w:val="24"/>
                <w:u w:val="none"/>
              </w:rPr>
              <w:t>devem indicar («Sim»/«Não») se cumprem todas as condições do referido artigo.</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Este elemento só deve ser reportado pelas instituições que aplicam a derrogação nos termos do artigo 273.º-A, n.º 4, </w:t>
            </w:r>
            <w:r>
              <w:rPr>
                <w:rFonts w:ascii="Times New Roman" w:hAnsi="Times New Roman"/>
                <w:sz w:val="24"/>
              </w:rPr>
              <w:t>do Regulamento (UE) n.º 575/2013</w:t>
            </w:r>
            <w:r>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Método para o cálculo dos valores das posições em risco a nível consolidado</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-A,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4, </w:t>
            </w:r>
            <w:r>
              <w:rPr>
                <w:rFonts w:ascii="Times New Roman" w:hAnsi="Times New Roman"/>
                <w:sz w:val="24"/>
              </w:rPr>
              <w:t>do Regulamento (UE) n.</w:t>
            </w:r>
            <w:r>
              <w:rPr>
                <w:rFonts w:ascii="Times New Roman" w:hAnsi="Times New Roman"/>
                <w:sz w:val="24"/>
                <w:vertAlign w:val="superscript"/>
              </w:rPr>
              <w:t>o</w:t>
            </w:r>
            <w:r>
              <w:rPr>
                <w:rFonts w:ascii="Times New Roman" w:hAnsi="Times New Roman"/>
                <w:sz w:val="24"/>
              </w:rPr>
              <w:t xml:space="preserve">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método de cálculo dos valores das posições em risco a nível consolidado, que é também utilizado a nível da entidade individual, em conformidade com o artigo 273.º-A, n.º 4, </w:t>
            </w:r>
            <w:r>
              <w:rPr>
                <w:rFonts w:ascii="Times New Roman" w:hAnsi="Times New Roman"/>
                <w:sz w:val="24"/>
              </w:rPr>
              <w:t>do Regulamento (UE) n.º 575/2013</w:t>
            </w:r>
            <w:r>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Método do risco inicial</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simplificado: Método padrão simplificado para risco de crédito de contraparte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Este elemento só deve ser reportado pelas instituições que aplicam a derrogação nos termos do artigo 273.º-A, n.º 4, </w:t>
            </w:r>
            <w:r>
              <w:rPr>
                <w:rFonts w:ascii="Times New Roman" w:hAnsi="Times New Roman"/>
                <w:sz w:val="24"/>
              </w:rPr>
              <w:t>do Regulamento (UE) n.º 575/2013</w:t>
            </w:r>
            <w:r>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Posições em CCR por método</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Generalidades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124</w:t>
      </w:r>
      <w:r>
        <w:fldChar w:fldCharType="end"/>
      </w:r>
      <w:r>
        <w:t>. As instituições devem reportar separadamente o presente modelo para todas as posições em CCR e todas em CCR excluindo as posições em risco sobre contrapartes centrais (CCP) na aceção utilizada no modelo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Instruções relativas a posições específicas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Colunas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CONTRAPARTES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Número de contrapartes individuais perante as quais a instituição tem posições em CCR.</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OPERAÇÕES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Número de operações sujeitas ao risco de crédito de contraparte na data de reporte. Cumpre salientar que, para as CCP, os números relativos à atividade não devem compreender as entradas ou saídas, mas sim as posições globais na carteira de CCR na data de reporte. Além disso, por motivos relacionados com os modelos, os instrumentos derivados ou OFVM que se dividem em duas ou mais componentes (no mínimo) devem ser considerados uma única operação.</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MONTANTES NOCIONAIS</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montantes nocionais de derivados e OFVM antes de qualquer compensação e sem quaisquer ajustamentos nos termos do artigo 279.º-B do Regulamento (UE) n.º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272.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12, do Regulamento (UE) n.</w:t>
            </w:r>
            <w:r>
              <w:rPr>
                <w:rFonts w:ascii="Times New Roman" w:hAnsi="Times New Roman"/>
                <w:sz w:val="24"/>
                <w:vertAlign w:val="superscript"/>
              </w:rPr>
              <w:t>o</w:t>
            </w:r>
            <w:r>
              <w:rPr>
                <w:rFonts w:ascii="Times New Roman" w:hAnsi="Times New Roman"/>
                <w:sz w:val="24"/>
              </w:rPr>
              <w:t xml:space="preserve"> 575/2013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Soma dos valores correntes de mercado (CMV) de todos os conjuntos de compensação com um CMV positivo na aceção do artigo 272.º, ponto 12, do Regulamento (UE) n.º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272.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12, do Regulamento (UE) n.</w:t>
            </w:r>
            <w:r>
              <w:rPr>
                <w:rFonts w:ascii="Times New Roman" w:hAnsi="Times New Roman"/>
                <w:sz w:val="24"/>
                <w:vertAlign w:val="superscript"/>
              </w:rPr>
              <w:t>o</w:t>
            </w:r>
            <w:r>
              <w:rPr>
                <w:rFonts w:ascii="Times New Roman" w:hAnsi="Times New Roman"/>
                <w:sz w:val="24"/>
              </w:rPr>
              <w:t xml:space="preserve">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Soma dos valores correntes de mercado (CMV) absolutos de todos os conjuntos de compensação com um CMV negativo na aceção do artigo 272.º, ponto 12, do Regulamento (UE) n.º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MARGEM DE VARIAÇÃO (VM), RECEBIDA</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275.º, n.</w:t>
            </w:r>
            <w:r>
              <w:rPr>
                <w:rFonts w:ascii="Times New Roman" w:hAnsi="Times New Roman"/>
                <w:sz w:val="24"/>
                <w:vertAlign w:val="superscript"/>
              </w:rPr>
              <w:t>os</w:t>
            </w:r>
            <w:r>
              <w:rPr>
                <w:rFonts w:ascii="Times New Roman" w:hAnsi="Times New Roman"/>
                <w:sz w:val="24"/>
              </w:rPr>
              <w:t xml:space="preserve"> 2 e 3, e artigo 276.º do Regulamento (UE) n.º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montantes da margem de variação (VM) de todos os acordos de margens com VM concedida, calculados em conformidade com o artigo 276.º do Regulamento (UE) n.º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MARGEM DE VARIAÇÃO (VM), CONCEDIDA</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275.º, n.</w:t>
            </w:r>
            <w:r>
              <w:rPr>
                <w:rFonts w:ascii="Times New Roman" w:hAnsi="Times New Roman"/>
                <w:sz w:val="24"/>
                <w:vertAlign w:val="superscript"/>
              </w:rPr>
              <w:t>os</w:t>
            </w:r>
            <w:r>
              <w:rPr>
                <w:rFonts w:ascii="Times New Roman" w:hAnsi="Times New Roman"/>
                <w:sz w:val="24"/>
              </w:rPr>
              <w:t xml:space="preserve"> 2 e 3, e artigo 276.º do Regulamento (UE) n.º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Soma dos montantes da margem de variação (VM) de todos os acordos de margens com VM concedida, calculados em conformidade com o artigo 276.º do Regulamento (UE) n.º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MONTANTE DE CAUÇÃO INDEPENDENTE LÍQUIDO (NICA), RECEBIDO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Artigos 272.º, ponto 12-A, artigo 275.º, n.º 3 e artigo 276.º do Regulamento (UE) n.º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montantes de caução independente líquidos (NICA) de todos os acordos de margens com NICA recebido, calculados em conformidade com o artigo 276.º do Regulamento (UE) n.º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MONTANTE DE CAUÇÃO INDEPENDENTE LÍQUIDO (NICA), CONCEDIDO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Artigos 272.º, ponto 12-A, artigo 275.º, n.º 3 e artigo 276.º do Regulamento (UE) n.º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Soma dos montantes de caução independente líquidos (NICA) de todos os acordos de margens com NICA concedida, calculados em conformidade com o artigo 276.º do Regulamento (UE) n.º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CUSTO DE SUBSTITUIÇÃO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Artigos 275.º, 281.º e 282.º do Regulamento (UE) n.º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O custo de substituição por conjunto de compensação deve ser calculado em conformidade com: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Artigo 282.º, n.º 3, do Regulamento (UE) n.º 575/2013, para o método do risco inicial,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Artigo 281.</w:t>
            </w:r>
            <w:r>
              <w:rPr>
                <w:rFonts w:ascii="Times New Roman" w:hAnsi="Times New Roman"/>
                <w:sz w:val="24"/>
                <w:vertAlign w:val="superscript"/>
              </w:rPr>
              <w:t>o</w:t>
            </w:r>
            <w:r>
              <w:rPr>
                <w:rFonts w:ascii="Times New Roman" w:hAnsi="Times New Roman"/>
                <w:sz w:val="24"/>
              </w:rPr>
              <w:t xml:space="preserve"> do Regulamento (UE) n.</w:t>
            </w:r>
            <w:r>
              <w:rPr>
                <w:rFonts w:ascii="Times New Roman" w:hAnsi="Times New Roman"/>
                <w:sz w:val="24"/>
                <w:vertAlign w:val="superscript"/>
              </w:rPr>
              <w:t>o</w:t>
            </w:r>
            <w:r>
              <w:rPr>
                <w:rFonts w:ascii="Times New Roman" w:hAnsi="Times New Roman"/>
                <w:sz w:val="24"/>
              </w:rPr>
              <w:t xml:space="preserve"> 575/2013, para o SA-CCR simplificado,</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Artigo 275.</w:t>
            </w:r>
            <w:r>
              <w:rPr>
                <w:rFonts w:ascii="Times New Roman" w:hAnsi="Times New Roman"/>
                <w:sz w:val="24"/>
                <w:vertAlign w:val="superscript"/>
              </w:rPr>
              <w:t>o</w:t>
            </w:r>
            <w:r>
              <w:rPr>
                <w:rFonts w:ascii="Times New Roman" w:hAnsi="Times New Roman"/>
                <w:sz w:val="24"/>
              </w:rPr>
              <w:t xml:space="preserve"> do Regulamento (UE) n.</w:t>
            </w:r>
            <w:r>
              <w:rPr>
                <w:rFonts w:ascii="Times New Roman" w:hAnsi="Times New Roman"/>
                <w:sz w:val="24"/>
                <w:vertAlign w:val="superscript"/>
              </w:rPr>
              <w:t>o</w:t>
            </w:r>
            <w:r>
              <w:rPr>
                <w:rFonts w:ascii="Times New Roman" w:hAnsi="Times New Roman"/>
                <w:sz w:val="24"/>
              </w:rPr>
              <w:t xml:space="preserve"> 575/2013, para o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A instituição deve reportar a soma dos custos de substituição dos conjuntos de compensação na respetiva linha.</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POSIÇÃO EM RISCO POTENCIAL FUTURA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Artigos 278.º, 281.º e 282.º do Regulamento (UE) n.º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 posição em risco potencial futura (PFE) por conjunto de compensação deve ser calculada em conformidade com: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xml:space="preserve">- Artigo 282.º, n.º 4, do Regulamento (UE) n.º 575/2013, para o método do risco inicial,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Artigo 281.</w:t>
            </w:r>
            <w:r>
              <w:rPr>
                <w:rFonts w:ascii="Times New Roman" w:hAnsi="Times New Roman"/>
                <w:sz w:val="24"/>
                <w:vertAlign w:val="superscript"/>
              </w:rPr>
              <w:t>o</w:t>
            </w:r>
            <w:r>
              <w:rPr>
                <w:rFonts w:ascii="Times New Roman" w:hAnsi="Times New Roman"/>
                <w:sz w:val="24"/>
              </w:rPr>
              <w:t xml:space="preserve"> do Regulamento (UE) n.</w:t>
            </w:r>
            <w:r>
              <w:rPr>
                <w:rFonts w:ascii="Times New Roman" w:hAnsi="Times New Roman"/>
                <w:sz w:val="24"/>
                <w:vertAlign w:val="superscript"/>
              </w:rPr>
              <w:t>o</w:t>
            </w:r>
            <w:r>
              <w:rPr>
                <w:rFonts w:ascii="Times New Roman" w:hAnsi="Times New Roman"/>
                <w:sz w:val="24"/>
              </w:rPr>
              <w:t xml:space="preserve"> 575/2013, para o SA-CCR simplificado,</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Artigo 278.</w:t>
            </w:r>
            <w:r>
              <w:rPr>
                <w:rFonts w:ascii="Times New Roman" w:hAnsi="Times New Roman"/>
                <w:sz w:val="24"/>
                <w:vertAlign w:val="superscript"/>
              </w:rPr>
              <w:t>o</w:t>
            </w:r>
            <w:r>
              <w:rPr>
                <w:rFonts w:ascii="Times New Roman" w:hAnsi="Times New Roman"/>
                <w:sz w:val="24"/>
              </w:rPr>
              <w:t xml:space="preserve"> do Regulamento (UE) n.</w:t>
            </w:r>
            <w:r>
              <w:rPr>
                <w:rFonts w:ascii="Times New Roman" w:hAnsi="Times New Roman"/>
                <w:sz w:val="24"/>
                <w:vertAlign w:val="superscript"/>
              </w:rPr>
              <w:t>o</w:t>
            </w:r>
            <w:r>
              <w:rPr>
                <w:rFonts w:ascii="Times New Roman" w:hAnsi="Times New Roman"/>
                <w:sz w:val="24"/>
              </w:rPr>
              <w:t xml:space="preserve"> 575/2013, para o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A instituição deve reportar a soma de todas as posições em risco potenciais futuras dos conjuntos de compensação na respetiva linha.</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POSIÇÃO EM RISCO CORRENTE</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Artigo 272.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17, do Regulamento (UE) n.</w:t>
            </w:r>
            <w:r>
              <w:rPr>
                <w:rFonts w:ascii="Times New Roman" w:hAnsi="Times New Roman"/>
                <w:sz w:val="24"/>
                <w:vertAlign w:val="superscript"/>
              </w:rPr>
              <w:t>o</w:t>
            </w:r>
            <w:r>
              <w:rPr>
                <w:rFonts w:ascii="Times New Roman" w:hAnsi="Times New Roman"/>
                <w:sz w:val="24"/>
              </w:rPr>
              <w:t xml:space="preserve"> 575/2013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A posição em risco corrente por conjunto de compensação corresponde ao valor obtido nos termos do artigo 272.º, ponto 17, do Regulamento (UE) n.º 575/2013.</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A instituição deve reportar a soma de todas as posições em risco correntes dos conjuntos de compensação na respetiva linha.</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POSIÇÃO EM RISCO ESPERADA POSITIVA EFETIVA (EEPE)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Artigo 272.º, ponto 22 e artigo 284.º, n.</w:t>
            </w:r>
            <w:r>
              <w:rPr>
                <w:rFonts w:ascii="Times New Roman" w:hAnsi="Times New Roman"/>
                <w:sz w:val="24"/>
                <w:vertAlign w:val="superscript"/>
              </w:rPr>
              <w:t>os</w:t>
            </w:r>
            <w:r>
              <w:rPr>
                <w:rFonts w:ascii="Times New Roman" w:hAnsi="Times New Roman"/>
                <w:sz w:val="24"/>
              </w:rPr>
              <w:t xml:space="preserve"> 3 e 6, do Regulamento (UE) n.º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A EEPE por conjunto de compensação é definida no artigo 272.º, ponto 22, do Regulamento (UE) n.º 575/2013 e deve ser calculada em conformidade com o artigo 284.º, n.º 6, do Regulamento (UE) n.º 575/2013.</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 instituição deve reportar a soma de todas as EEPE aplicadas para efeitos da determinação dos requisitos de fundos próprios em conformidade com o artigo 284.º, n.º 3, do Regulamento (UE) n.º 575/2013, ou seja, ou a EEPE calculada utilizando dados correntes do mercado ou a EEPE calculada por meio de uma calibração de esforço, consoante a que resultar num requisito de fundos próprios mais elevado.</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UTILIZADO PARA CALCULAR O VALOR DA POSIÇÕES EM RISCO REGULAMENTAR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Artigo 274.º, n.º 2, artigo 282.º, ponto 2, artigo 281.º, n.º 1 e artigo 284.º, n.</w:t>
            </w:r>
            <w:r>
              <w:rPr>
                <w:rFonts w:ascii="Times New Roman" w:hAnsi="Times New Roman"/>
                <w:sz w:val="24"/>
                <w:vertAlign w:val="superscript"/>
              </w:rPr>
              <w:t>os</w:t>
            </w:r>
            <w:r>
              <w:rPr>
                <w:rFonts w:ascii="Times New Roman" w:hAnsi="Times New Roman"/>
                <w:sz w:val="24"/>
              </w:rPr>
              <w:t xml:space="preserve"> 4 e 9, do Regulamento (UE) n.º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Nos termos do artigo 274.º, n.º 2, do artigo 281.º, n.º 1, e do artigo 282.º, n.º 2, do Regulamento (UE) n.º 575/2013, o valor de α fixa-se em 1,4 para as linhas referentes ao OEM, ao SA-CCR simplificado e ao SA-CCR. Para efeitos do método do modelo interno (MMI), o valor de α pode ser o valor utilizado por defeito de 1,4 ou outro valor, se as autoridades competentes exigirem um valor de α mais elevado em conformidade com o artigo 284.º, n.º 4, do Regulamento (UE) n.º 575/2013 ou permitem que as instituições utilizem as suas próprias estimativas em conformidade com o artigo 284.º, n.º 9, do mesmo regulamento.</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DAS POSIÇÕES EM RISCO PRÉ-CRM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O valor das posições em risco pré-CRM para os conjuntos de compensação de CCR deve ser calculado em conformidade com os métodos estabelecidos na </w:t>
            </w:r>
            <w:r>
              <w:rPr>
                <w:rFonts w:ascii="Times New Roman" w:hAnsi="Times New Roman"/>
                <w:sz w:val="24"/>
              </w:rPr>
              <w:lastRenderedPageBreak/>
              <w:t xml:space="preserve">parte III, título II, capítulos 4 e 6, do Regulamento (UE) n.º 575/2013, tendo em conta o efeito da compensação, mas ignorando qualquer outra técnica de redução do risco de crédito (p. ex., cauções para efeitos de margem).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No caso das SFT, a componente de valores mobiliários não deve ser tida em conta na determinação do valor das posições em risco antes da aplicação de técnicas de CRM quando é recebida uma caução e, por conseguinte, não deve reduzir o valor das posições em risco. Pelo contrário, a componente de valores mobiliários das SFT deve ser tida em conta na determinação habitual do valor das posições em risco antes da aplicação de técnicas de CRM quando é dada uma caução.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Além disso, as atividades caucionadas devem ser tratadas como sendo não caucionadas, ou seja, sem a aplicação dos efeitos da margem.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O valor das posições em risco pré-CRM sobre operações em que foi identificada a existência de risco específico de correlação desfavorável nos termos do artigo 291.º do Regulamento (UE) n.º 575/2013.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Para efeitos do valor das posições em risco pré-CRM, não deve ser tida em conta a dedução da perda por CVA incorridos nos termos do artigo 273.º, n.º 6, do Regulamento (UE) n.º 575/2013.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A instituição deve reportar a soma de todos os valores das posições em risco pré-CRM na respetiva linha.</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DAS POSIÇÕES EM RISCO PÓS-CRM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 valor das posições em risco pós-CRM para os conjuntos de compensação de CCR deve ser calculado em conformidade com os métodos estabelecidos na parte III, título II, capítulos 4 e 6, do Regulamento (UE) n.º 575/2013, após aplicação de técnicas de CRM em consonância com a parte III, título II, capítulos 4 e 6, do referido regulamento.</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O valor das posições em risco pós-CRM sobre operações em que foi identificada a existência de risco específico de correlação desfavorável nos termos do artigo 291.º do Regulamento (UE) n.º 575/2013.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Para efeitos do valor das posições em risco pós-CRM, não deve ser tida em conta a dedução da perda por CVA incorridos nos termos do artigo 273.º, n.º 6, do Regulamento (UE) n.º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A instituição deve reportar a soma de todos os valores das posições em risco pós-CRM na respetiva linha.</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 DAS POSIÇÕES EM RISCO</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O valor das posições em risco para os conjuntos de compensação de CCR calculado em conformidade com os métodos estabelecidos na parte III, título II, capítulos 4 e 6, do Regulamento (UE) n.º 575/2013, que constitui o montante relevante para o cálculo dos montantes das posições ponderadas pelo risco, ou seja, após aplicação das técnicas de CRM, consoante aplicável, em conformidade com a parte III, título II, capítulos 4 e 6, do Regulamento (UE) n.º 575/2013 e tendo em conta a dedução da perda por CVA suportada, nos termos do artigo 273.º, n.º 6, do referido regulamento. </w:t>
            </w:r>
          </w:p>
          <w:p w14:paraId="78D55FF1" w14:textId="77777777" w:rsidR="00EF74C7" w:rsidRPr="002A677E" w:rsidRDefault="00EF74C7" w:rsidP="00822842">
            <w:pPr>
              <w:rPr>
                <w:rFonts w:ascii="Times New Roman" w:hAnsi="Times New Roman"/>
                <w:sz w:val="24"/>
              </w:rPr>
            </w:pPr>
            <w:r>
              <w:rPr>
                <w:rFonts w:ascii="Times New Roman" w:hAnsi="Times New Roman"/>
                <w:sz w:val="24"/>
              </w:rPr>
              <w:lastRenderedPageBreak/>
              <w:t>O valor das posições em risco para operações em que foi identificada a existência de risco específico de correlação desfavorável nos termos do artigo 291.º do Regulamento (UE) n.º 575/2013.</w:t>
            </w:r>
          </w:p>
          <w:p w14:paraId="2CCE9704" w14:textId="7FC538BE"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Nos casos em que seja utilizado mais do que um método de CCR em relação a uma única contraparte, a perda por CVA incorrido, que é deduzida a nível da contraparte, deve ser afetada ao valor das posições em risco dos diversos conjuntos de compensação em cada método de CCR, refletindo a proporção do valor das posições em risco pós-CRM dos respetivos conjuntos de compensação em relação ao </w:t>
            </w:r>
            <w:r w:rsidR="00441092">
              <w:rPr>
                <w:rFonts w:ascii="Times New Roman" w:hAnsi="Times New Roman"/>
                <w:sz w:val="24"/>
              </w:rPr>
              <w:t>valor</w:t>
            </w:r>
            <w:r>
              <w:rPr>
                <w:rFonts w:ascii="Times New Roman" w:hAnsi="Times New Roman"/>
                <w:sz w:val="24"/>
              </w:rPr>
              <w:t xml:space="preserve"> das posições em risco pós-CRM da contraparte.</w:t>
            </w:r>
          </w:p>
          <w:p w14:paraId="0C842EAD" w14:textId="77777777" w:rsidR="00EF74C7" w:rsidRPr="002A677E" w:rsidRDefault="00EF74C7" w:rsidP="00822842">
            <w:r>
              <w:rPr>
                <w:rFonts w:ascii="Times New Roman" w:hAnsi="Times New Roman"/>
                <w:sz w:val="24"/>
              </w:rPr>
              <w:t>A instituição deve reportar a soma de todos os valores das posições em risco na respetiva linha.</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padrão para o risco de crédito</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O valor das posições em risco de CCR de posições tratadas com o método padrão para o risco de crédito em conformidade com a parte III, título II, capítulo 2, do Regulamento (UE) n.º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IRB para o risco de crédito</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O valor das posições em risco de CCR de posições tratadas com o método IRB para o risco de crédito em conformidade com a parte III, título II, capítulo 3, do Regulamento (UE) n.º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MONTANTES DAS POSIÇÕES PONDERADAS PELO RISCO</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Montantes das posições ponderadas pelo risco relativas ao CCR na aceção do artigo 92.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3, do Regulamento (UE) n.</w:t>
            </w:r>
            <w:r>
              <w:rPr>
                <w:rFonts w:ascii="Times New Roman" w:hAnsi="Times New Roman"/>
                <w:sz w:val="24"/>
                <w:vertAlign w:val="superscript"/>
              </w:rPr>
              <w:t>o</w:t>
            </w:r>
            <w:r>
              <w:rPr>
                <w:rFonts w:ascii="Times New Roman" w:hAnsi="Times New Roman"/>
                <w:sz w:val="24"/>
              </w:rPr>
              <w:t xml:space="preserve"> 575/2013, calculados em conformidade com os métodos estabelecido na parte III, título II, capítulos 2 e 3.</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Devem ser tidos em conta os fatores de apoio às PME e à infraestrutura estabelecidos nos artigos 501.º e 501.º-A do Regulamento (UE) n.º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padrão para o risco de crédito</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Montantes das posições ponderadas pelo risco relativas ao CCR e tratadas com o método padrão para o risco de crédito em conformidade com a parte III, título II, capítulo 2, do Regulamento (UE) n.º 575/2013. </w:t>
            </w:r>
          </w:p>
          <w:p w14:paraId="21C6ADFA" w14:textId="77777777" w:rsidR="00EF74C7" w:rsidRPr="002A677E" w:rsidRDefault="00EF74C7" w:rsidP="00822842">
            <w:pPr>
              <w:rPr>
                <w:rFonts w:ascii="Times New Roman" w:hAnsi="Times New Roman"/>
                <w:sz w:val="24"/>
              </w:rPr>
            </w:pPr>
            <w:r>
              <w:rPr>
                <w:rFonts w:ascii="Times New Roman" w:hAnsi="Times New Roman"/>
                <w:sz w:val="24"/>
              </w:rPr>
              <w:t>O montante corresponde ao montante a indicar na coluna 0220 do modelo C 07.00 para as posições de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Posições tratadas com o método IRB para o risco de crédito</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Montantes das posições ponderadas pelo risco relativas ao CCR e tratadas com o método IRB para o risco de crédito em conformidade com a parte III, título II, capítulo 3, do Regulamento (UE) n.º 575/2013.</w:t>
            </w:r>
          </w:p>
          <w:p w14:paraId="3FB6A074" w14:textId="77777777" w:rsidR="00EF74C7" w:rsidRPr="002A677E" w:rsidRDefault="00EF74C7" w:rsidP="00822842">
            <w:pPr>
              <w:rPr>
                <w:rFonts w:ascii="Times New Roman" w:hAnsi="Times New Roman"/>
                <w:sz w:val="24"/>
              </w:rPr>
            </w:pPr>
            <w:r>
              <w:rPr>
                <w:rFonts w:ascii="Times New Roman" w:hAnsi="Times New Roman"/>
                <w:sz w:val="24"/>
              </w:rPr>
              <w:t>O montante corresponde ao montante a indicar na coluna 0260 do modelo C 08.01 para as posições de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LIMITE MÍNIMO DOS RESULTADOS</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lastRenderedPageBreak/>
              <w:t>Para instituições sujeitas ao limite mínimo do montante total das posições em risco nos termos do artigo 92.º, n.º 3 do Regulamento (UE) n.º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lastRenderedPageBreak/>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VALOR DAS POSIÇÕES EM RISCO PARA O CÁLCULO DO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 das posições em risco</w:t>
            </w:r>
            <w:r>
              <w:rPr>
                <w:rFonts w:ascii="Times New Roman" w:hAnsi="Times New Roman"/>
                <w:sz w:val="24"/>
              </w:rPr>
              <w:t xml:space="preserve"> das posições em CRR incluídas no cálculo do montante total das posições em risco pelo método padrão (S-TREA) calculado em conformidade com o artigo 92.º, n.º 5, do Regulamento (UE) n.º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Montante total das posições em risco pelo método padrão (S-TREA) das posições em CCR calculado em conformidade com o artigo 92.º, n.º 5, do Regulamento (UE) n.º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RUBRICAS PARA MEMÓRIA: RWEA RELACIONADOS COM O IMPACTO DA APLICAÇÃO DO ARTIGO 465.º, N.º 4, DO REGULAMENTO (UE) N.º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Artigo 465.°, n.º 4, do Regulamento (UE) n.º 575/2013. Deve ser reportada a diferença entre o montante de RWEA sem a aplicação das disposições transitórias e o montante de RWEA com a aplicação das disposições transitórias.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Linha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MÉTODO DO RISCO INICIAL (PARA DERIVADOS)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As operações de liquidação longa e derivados cujos valores das posições em risco são calculados pela instituição em conformidade com a parte III, título II, capítulo 6, secção 5, do Regulamento (UE) n.º 575/2013. Este método simplificado de cálculo do valor das posições em risco só pode ser utilizado pelas instituições que cumprem as condições estabelecidas no artigo 273.º-A, n.º 2 ou 4, do Regulamento (UE) n.º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PADRÃO SIMPLICADO PARA CCR (SA-CCR SIMPLIFICADO PARA DERIVADOS)</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As operações de liquidação longa e derivados cujos valores das posições em risco são calculados pela instituição em conformidade com a parte III, título II, capítulo 6, secção 4, do Regulamento (UE) n.º 575/2013. Este método padrão simplificado de cálculo do valor das posições em risco só pode ser utilizado pelas instituições que cumprem as condições estabelecidas no artigo 273.º-A, n.º 1 ou 4, do Regulamento (UE) n.º 575/2013.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PADRÃO PARA CCR (SA-CCR PARA DERIVADOS)</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As operações de liquidação longa e derivados cujos valores das posições em risco são calculados pela instituição em conformidade com a parte III, título II, capítulo 6, secção 3, do Regulamento (UE) n.º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MMI (PARA DERIVADOS E OFVM)</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As operações de liquidação longa e derivados e as OFVM cujos valores das posições em risco a instituição esteja autorizada a calcular por meio do método dos modelos internos (MMI), em conformidade com a parte III, título II, capítulo 6, secção 6, do Regulamento (UE) n.º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compensação de operações de financiamento através de valores mobiliários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Conjuntos de compensação unicamente compostos de OFVM na aceção do artigo 4.º, ponto 139, do Regulamento (UE) n.º 575/2013, cujo valor das posições em risco a instituição esteja autorizada a determinar por meio do MMI.</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As OFVM incluídas num conjunto de compensação contratual multiproduto e, por essa razão, reportadas na linha 0070, não podem ser reportadas nesta linha.</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compensação de derivados e operações de liquidação longa</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Conjuntos de compensação unicamente compostos de instrumentos derivados constantes do anexo II do Regulamento (UE) n.º 575/2013 e operações de liquidação longa na aceção do artigo 272.º, ponto 2, do Regulamento (UE) n.º 575/2013, cujo valor das posições em risco a instituição esteja autorizada a determinar por meio do MMI.</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Operações de liquidação longa e derivados incluídos num conjunto de compensação contratual multiproduto e, por essa razão, reportados na linha 0070, não podem ser reportados nesta linha.</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Decorrentes de conjuntos de compensação contratual multiproduto</w:t>
            </w:r>
          </w:p>
          <w:p w14:paraId="118D66FD" w14:textId="77777777" w:rsidR="00EF74C7" w:rsidRPr="002A677E" w:rsidRDefault="00EF74C7" w:rsidP="00822842">
            <w:pPr>
              <w:rPr>
                <w:rFonts w:ascii="Times New Roman" w:hAnsi="Times New Roman"/>
                <w:sz w:val="24"/>
              </w:rPr>
            </w:pPr>
            <w:r>
              <w:rPr>
                <w:rFonts w:ascii="Times New Roman" w:hAnsi="Times New Roman"/>
                <w:sz w:val="24"/>
              </w:rPr>
              <w:t>Artigo 272.º, n.</w:t>
            </w:r>
            <w:r>
              <w:rPr>
                <w:rFonts w:ascii="Times New Roman" w:hAnsi="Times New Roman"/>
                <w:sz w:val="24"/>
                <w:vertAlign w:val="superscript"/>
              </w:rPr>
              <w:t>os</w:t>
            </w:r>
            <w:r>
              <w:rPr>
                <w:rFonts w:ascii="Times New Roman" w:hAnsi="Times New Roman"/>
                <w:sz w:val="24"/>
              </w:rPr>
              <w:t> 11 e 25, do Regulamento (UE) n.º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Os conjuntos de compensação que contenham operações de diversas categorias de produto (artigo 272.º, ponto 11, do Regulamento (UE) n.º 575/2013), ou seja, derivados e OFVM para os quais exista um acordo de compensação multiproduto na aceção do artigo 272.º, ponto 25, do Regulamento (UE) n.º 575/2013 e cujos valores das posições em risco a instituição esteja autorizada a determinar por meio do MMI.</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MÉTODO SIMPLES SOBRE CAUÇÕES FINANCEIRAS (PARA OFVM) </w:t>
            </w:r>
          </w:p>
          <w:p w14:paraId="1E933FE3" w14:textId="77777777" w:rsidR="00EF74C7" w:rsidRPr="002A677E" w:rsidRDefault="00EF74C7" w:rsidP="00822842">
            <w:pPr>
              <w:rPr>
                <w:rFonts w:ascii="Times New Roman" w:hAnsi="Times New Roman"/>
                <w:sz w:val="24"/>
              </w:rPr>
            </w:pPr>
            <w:r>
              <w:rPr>
                <w:rFonts w:ascii="Times New Roman" w:hAnsi="Times New Roman"/>
                <w:sz w:val="24"/>
              </w:rPr>
              <w:t>Artigo 222.º do Regulamento (UE) n.º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Operações de recompra, operações de concessão ou contração de empréstimos de valores mobiliários ou mercadorias, operações de liquidação longa e operações de empréstimo com margem cujo valor das posições em risco a instituição tenha decido determinar em conformidade com o artigo 222.º do Regulamento (UE) n.º 575/2013, por oposição ao disposto na parte III, título II, capítulo 6, do mesmo regulamento, em conformidade com o artigo 271.º, n.º 2, do referido regulamento.</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MÉTODO INTEGRAL SOBRE CAUÇÕES FINANCEIRAS (PARA OFVM)</w:t>
            </w:r>
          </w:p>
          <w:p w14:paraId="13A72AE5" w14:textId="77777777" w:rsidR="00EF74C7" w:rsidRPr="002A677E" w:rsidRDefault="00EF74C7" w:rsidP="00822842">
            <w:pPr>
              <w:rPr>
                <w:rFonts w:ascii="Times New Roman" w:hAnsi="Times New Roman"/>
                <w:sz w:val="24"/>
              </w:rPr>
            </w:pPr>
            <w:r>
              <w:rPr>
                <w:rFonts w:ascii="Times New Roman" w:hAnsi="Times New Roman"/>
                <w:sz w:val="24"/>
              </w:rPr>
              <w:t>Artigos 220.º e 223.º do Regulamento (UE) n.º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Operações de recompra, operações de concessão ou contração de empréstimos de valores mobiliários ou mercadorias, operações de liquidação longa e operações de empréstimo com margem cujo valor das posições em risco a instituição tenha decido determinar em conformidade com o artigo 223.º do Regulamento (UE) n.º 575/2013, por oposição ao disposto na parte III, título II, capítulo 6, do mesmo regulamento, em conformidade com o artigo 271.º, n.º 2, do referido regulamento.</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PARA OFVM</w:t>
            </w:r>
          </w:p>
          <w:p w14:paraId="769E33FD" w14:textId="77777777" w:rsidR="00EF74C7" w:rsidRPr="002A677E" w:rsidRDefault="00EF74C7" w:rsidP="00822842">
            <w:pPr>
              <w:rPr>
                <w:rFonts w:ascii="Times New Roman" w:hAnsi="Times New Roman"/>
                <w:sz w:val="24"/>
              </w:rPr>
            </w:pPr>
            <w:r>
              <w:rPr>
                <w:rFonts w:ascii="Times New Roman" w:hAnsi="Times New Roman"/>
                <w:sz w:val="24"/>
              </w:rPr>
              <w:t>Artigo 221.º do Regulamento (UE) n.º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Operações de recompra, operações de concessão ou contração de empréstimos de valores mobiliários ou mercadorias ou operações de empréstimo com margem, ou outras operações associadas ao mercado de capitais que não sejam operações sobre derivados, cujo valor das posições em risco, nos termos do artigo 221.º do Regulamento (UE) n.º 575/2013 e mediante autorização da autoridade competente, seja calculado por meio de um método de modelos internos que tenha em conta os efeitos da correlação entre as posições sobre valores mobiliários abrangidas pelo acordo-quadro de compensação, bem como a liquidez dos instrumentos em questão.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Designadamente: Posições de risco específico de correlação desfavorável</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291.</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w:t>
            </w:r>
            <w:r>
              <w:rPr>
                <w:rFonts w:ascii="Times New Roman" w:hAnsi="Times New Roman"/>
                <w:sz w:val="24"/>
              </w:rPr>
              <w:t>do Regulamento (UE) n.</w:t>
            </w:r>
            <w:r>
              <w:rPr>
                <w:rFonts w:ascii="Times New Roman" w:hAnsi="Times New Roman"/>
                <w:sz w:val="24"/>
                <w:vertAlign w:val="superscript"/>
              </w:rPr>
              <w:t>o</w:t>
            </w:r>
            <w:r>
              <w:rPr>
                <w:rFonts w:ascii="Times New Roman" w:hAnsi="Times New Roman"/>
                <w:sz w:val="24"/>
              </w:rPr>
              <w:t xml:space="preserve"> 575/2013</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 xml:space="preserve">Posições em CCR em que foi identificada a existência de risco específico de correlação desfavorável em conformidade com o artigo 291.º </w:t>
            </w:r>
            <w:r>
              <w:rPr>
                <w:rFonts w:ascii="Times New Roman" w:hAnsi="Times New Roman"/>
                <w:sz w:val="24"/>
              </w:rPr>
              <w:t>do Regulamento (UE) n.º 575/2013</w:t>
            </w:r>
            <w:r>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Atividade com margem</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272.°, n.º 7, </w:t>
            </w:r>
            <w:r>
              <w:rPr>
                <w:rFonts w:ascii="Times New Roman" w:hAnsi="Times New Roman"/>
                <w:sz w:val="24"/>
              </w:rPr>
              <w:t>do Regulamento (UE) n.º 575/2013.</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 xml:space="preserve">Posições em CCR com margem, ou seja, conjuntos de compensação objeto de um acordo de margem na aceção do artigo 272.º, ponto 7, </w:t>
            </w:r>
            <w:r>
              <w:rPr>
                <w:rFonts w:ascii="Times New Roman" w:hAnsi="Times New Roman"/>
                <w:sz w:val="24"/>
              </w:rPr>
              <w:t>do Regulamento (UE) n.º 575/2013</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Atividade sem margem</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Posições em CCR que não são abrangidas por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lastRenderedPageBreak/>
        <w:t>C 34.03 – Posições em CCR tratadas com métodos padrão: SA-CCR e SA-CCR simplificado</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Generalidades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125</w:t>
      </w:r>
      <w:r>
        <w:fldChar w:fldCharType="end"/>
      </w:r>
      <w:r>
        <w:t>. O modelo deve ser utilizado separadamente para reportar as posições em CCR calculadas por meio do SA-CCR ou do SA-CCR simplificado, consoante o caso.</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Instruções relativas a posições específicas</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Colunas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DIVISA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Para as operações afetadas à categoria de risco de taxa de juro, deve ser reportada a moeda de denominação da operação.</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Para as operações afetadas à categoria de risco cambial, deve ser reportada a moeda de denominação de uma das duas componentes da operação. As instituições devem inserir as moedas do par de moedas em ordem alfabética, p. ex., para o par USD/EUR, deve indicar nesta coluna «EUR» e na coluna 0020, «USD». </w:t>
            </w:r>
          </w:p>
          <w:p w14:paraId="4B0703E4" w14:textId="77777777" w:rsidR="00EF74C7" w:rsidRPr="002A677E" w:rsidRDefault="00EF74C7" w:rsidP="00822842">
            <w:pPr>
              <w:keepNext/>
              <w:spacing w:before="60"/>
              <w:rPr>
                <w:rFonts w:ascii="Times New Roman" w:hAnsi="Times New Roman"/>
                <w:i/>
                <w:sz w:val="24"/>
              </w:rPr>
            </w:pPr>
            <w:r>
              <w:t xml:space="preserve">Devem ser utilizados </w:t>
            </w:r>
            <w:hyperlink r:id="rId10" w:history="1">
              <w:r>
                <w:rPr>
                  <w:rFonts w:ascii="Times New Roman" w:hAnsi="Times New Roman"/>
                  <w:sz w:val="24"/>
                </w:rPr>
                <w:t xml:space="preserve">os códigos ISO </w:t>
              </w:r>
            </w:hyperlink>
            <w:r>
              <w:t>das moedas.</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SEGUNDA DIVISA DO PAR</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Para as operações afetadas à categoria de risco cambial, deve ser reportada a moeda de denominação da outra componente da operação (relacionada com a indicada na coluna 0010). As instituições devem inserir as moedas do par de moedas em ordem alfabética, p. ex., para o par EUR/USD, deve indicar nesta coluna «USD» e na coluna 0010, «EUR».</w:t>
            </w:r>
          </w:p>
          <w:p w14:paraId="1013A2D8" w14:textId="77777777" w:rsidR="00EF74C7" w:rsidRPr="002A677E" w:rsidRDefault="00EF74C7" w:rsidP="00822842">
            <w:pPr>
              <w:keepNext/>
              <w:spacing w:before="60"/>
              <w:rPr>
                <w:rFonts w:ascii="Times New Roman" w:hAnsi="Times New Roman"/>
                <w:i/>
                <w:sz w:val="24"/>
              </w:rPr>
            </w:pPr>
            <w:r>
              <w:t xml:space="preserve">Devem ser utilizados </w:t>
            </w:r>
            <w:hyperlink r:id="rId11" w:history="1">
              <w:r>
                <w:rPr>
                  <w:rFonts w:ascii="Times New Roman" w:hAnsi="Times New Roman"/>
                  <w:sz w:val="24"/>
                </w:rPr>
                <w:t xml:space="preserve">os códigos ISO </w:t>
              </w:r>
            </w:hyperlink>
            <w:r>
              <w:t>das moedas.</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OPERAÇÕES</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Ver as instruções relativas à coluna 0020 no modelo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MONTANTES NOCIONAIS</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Ver as instruções relativas à coluna 0030 no modelo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valores correntes de mercado (CMV) de todos os conjuntos de cobertura com um CMV positivo na respetiva categoria de risco.</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O CMV a nível do conjunto de cobertura é determinado por meio da compensação dos valores de mercado positivos e negativos das operações num conjunto de cobertura antes da aplicação de qualquer caução recebida ou concedida.</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lastRenderedPageBreak/>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valores correntes de mercado (CMV) de todos os conjuntos de cobertura com um CMV negativo na respetiva categoria de risco.</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O CMV a nível do conjunto de cobertura é determinado por meio da compensação dos valores de mercado positivos e negativos das operações num conjunto de cobertura antes da aplicação de qualquer caução recebida ou concedida.</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MAJORAÇÃO</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Artigos 280.º-A a 280.º-F e artigo 281.º, n.º 2, do Regulamento (UE) n.º 575/2013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 instituição deve reportar a soma de todas as majorações no respetivo conjunto de cobertura/categoria de risco.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majoração por categoria de risco utilizada para determinar a posição em risco potencial futura de um conjunto de cobertura em conformidade com o artigo 278.º, n.º 1, ou com o artigo 281.º, n.º 2, alínea f), do Regulamento (UE) n.º 575/2013 deve ser calculada nos termos dos artigos 280.º-A a 280.º-F do mesmo regulamento. Para o SA-CCR simplificado, é aplicável o disposto no artigo 281.º, n.º 2, do Regulamento (UE) n.º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Linhas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CATEGORIAS DE RISCO</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Artigos 277.º e 277.º-A do Regulamento (UE) n.º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As operações devem ser classificadas de acordo com a categoria de risco a que pertencem em conformidade com o artigo 277.º, n.</w:t>
            </w:r>
            <w:r>
              <w:rPr>
                <w:rFonts w:ascii="Times New Roman" w:hAnsi="Times New Roman"/>
                <w:sz w:val="24"/>
                <w:vertAlign w:val="superscript"/>
              </w:rPr>
              <w:t>os</w:t>
            </w:r>
            <w:r>
              <w:rPr>
                <w:rFonts w:ascii="Times New Roman" w:hAnsi="Times New Roman"/>
                <w:sz w:val="24"/>
              </w:rPr>
              <w:t> 1 a 4, do Regulamento (UE) n.º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A atribuição dos conjuntos de cobertura de acordo com a categoria de risco deve ser efetuada em conformidade com o artigo 277.º-A do Regulamento (UE) n.º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Para o SA-CCR simplificado, é aplicável o disposto no artigo 281.º, n.º 2, do Regulamento (UE) n.º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Designadamente afetadas a mais de uma categoria de risco</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277.</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3, do Regulamento (UE) n.</w:t>
            </w:r>
            <w:r>
              <w:rPr>
                <w:rFonts w:ascii="Times New Roman" w:hAnsi="Times New Roman"/>
                <w:sz w:val="24"/>
                <w:vertAlign w:val="superscript"/>
              </w:rPr>
              <w:t>o</w:t>
            </w:r>
            <w:r>
              <w:rPr>
                <w:rFonts w:ascii="Times New Roman" w:hAnsi="Times New Roman"/>
                <w:sz w:val="24"/>
              </w:rPr>
              <w:t xml:space="preserve">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As operações sobre derivados com mais de que um fator de risco significativo afetadas a duas (0020), três (0030) ou mais do que três (0040) categorias de risco com base nos fatores de risco mais significativos em cada categoria de risco, em conformidade com o artigo 277.º, n.º 3, do Regulamento (UE) n.º 575/2013 e a norma técnica de regulamentação da EBA a que se refere o artigo 277.º, n.º 5, desse regulamento.</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lastRenderedPageBreak/>
              <w:t>0070-0110 e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Maior moeda e par de moedas</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Esta classificação deve ser efetuada com base no CMV da carteira da instituição abrangida pelo SA-CCR ou o SA-CCR simplificado, consoante o caso, para as operações afetadas às categorias de risco de taxa de juro e risco cambial, respetivamente. </w:t>
            </w:r>
          </w:p>
          <w:p w14:paraId="7CB8DC17" w14:textId="77777777" w:rsidR="00EF74C7" w:rsidRPr="002A677E" w:rsidRDefault="00EF74C7" w:rsidP="00822842">
            <w:pPr>
              <w:rPr>
                <w:rFonts w:ascii="Times New Roman" w:hAnsi="Times New Roman"/>
                <w:i/>
                <w:sz w:val="24"/>
              </w:rPr>
            </w:pPr>
            <w:r>
              <w:rPr>
                <w:sz w:val="24"/>
              </w:rPr>
              <w:t>Para fins de classificação, devem ser somados os valores absolutos dos CMV das posições.</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Afetação exclusiva</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277.º, n.</w:t>
            </w:r>
            <w:r>
              <w:rPr>
                <w:rFonts w:ascii="Times New Roman" w:hAnsi="Times New Roman"/>
                <w:sz w:val="24"/>
                <w:vertAlign w:val="superscript"/>
              </w:rPr>
              <w:t>os</w:t>
            </w:r>
            <w:r>
              <w:rPr>
                <w:rFonts w:ascii="Times New Roman" w:hAnsi="Times New Roman"/>
                <w:sz w:val="24"/>
              </w:rPr>
              <w:t xml:space="preserve"> 1 e 2, do Regulamento (UE) n.º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As operações sobre derivados exclusivamente afetadas a uma categoria de risco em conformidade com o artigo 277.º, n.</w:t>
            </w:r>
            <w:r>
              <w:rPr>
                <w:rFonts w:ascii="Times New Roman" w:hAnsi="Times New Roman"/>
                <w:sz w:val="24"/>
                <w:vertAlign w:val="superscript"/>
              </w:rPr>
              <w:t>os</w:t>
            </w:r>
            <w:r>
              <w:rPr>
                <w:rFonts w:ascii="Times New Roman" w:hAnsi="Times New Roman"/>
                <w:sz w:val="24"/>
              </w:rPr>
              <w:t xml:space="preserve"> 1 e 2, do Regulamento (UE) n.º 575/2013.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Devem ser excluídas as operações afetadas a diversas categorias de risco em conformidade com o artigo 277.º, n.º 3, do Regulamento (UE) n.º 575/2013.</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Operações com uma única entidade de referência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Operações com uma única entidade de referência afetadas às categorias de risco de crédito e risco de títulos de capital, respetivamente.</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Operações com múltiplas designações</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Operações com múltiplas designações afetadas às categorias de risco de crédito e risco de títulos de capital, respetivamente.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cobertura da categoria de risco de mercadorias</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Operações de derivados atribuídas aos conjuntos de cobertura da categoria de risco de mercadorias constantes da lista do artigo 277.º-A, n.º 1, alínea e), do Regulamento (UE) n.º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Posições em CCR tratadas com o método do risco inicial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Instruções relativas a posições específicas</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Colunas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As instruções relativas às colunas 0010 e 0020 são iguais às constantes do modelo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valores correntes de mercado (CMV) de todas as operações com um CMV positivo na respetiva categoria de risco.</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Soma dos valores correntes de mercado (CMV) de todas as operações com um CMV positivo na respetiva categoria de risco.</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lastRenderedPageBreak/>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POSIÇÃO EM RISCO POTENCIAL FUTURA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A instituição deve reportar a soma das PFE para todas as operações pertencentes à mesma categoria de risco.</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Linhas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CATEGORIAS DE RISCO</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Operações de derivados mapeadas de acordo com as categorias de risco constantes da lista do artigo 282.º, n.º 4, alínea b), do Regulamento (UE) n.º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Posições em CCR tratadas com o método dos modelos internos (MMI)</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Instruções relativas a posições específicas</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Colunas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COM MARGEM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Ver as instruções relativas à coluna 0130 no modelo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SEM MARGEM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Ver as instruções relativas à coluna 0140 no modelo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OPERAÇÕES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Ver as instruções relativas à coluna 0020 no modelo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MONTANTES NOCIONAIS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Ver as instruções relativas à coluna 0030 no modelo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Soma dos valores correntes de mercado (CMV) de todas as operações com um CMV positivo pertencentes à mesma categoria de ativos.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Soma dos valores correntes de mercado (CMV) de todas as operações com um CMV negativo pertencentes à mesma categoria de ativos.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POSIÇÃO EM RISCO CORRENTE</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Ver as instruções relativas à coluna 0120 no modelo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POSIÇÃO EM RISCO ESPERADA POSITIVA EFETIVA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Ver as instruções relativas à coluna 0130 no modelo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lastRenderedPageBreak/>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EM SITUAÇÃO DE ESFORÇO</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 284.º, n.º 6, e artigo 292.º, n.º 2, do Regulamento (UE) n.º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EEPE em situação de esforço é calculada de modo análogo à EEPE (artigo 284.º, n.º 6, do Regulamento (UE) n.º 575/2013), mas é efetuada uma calibração de esforço nos termos do 292.º, n.º 2, do Regulamento (UE) n.º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DAS POSIÇÕES EM RISCO</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Ver as instruções relativas à coluna 0170 no modelo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Linha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Explicação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43496D3B" w14:textId="77777777" w:rsidR="00EF74C7" w:rsidRPr="002A677E" w:rsidRDefault="00EF74C7" w:rsidP="00822842">
            <w:pPr>
              <w:keepNext/>
              <w:spacing w:before="60"/>
              <w:rPr>
                <w:sz w:val="24"/>
              </w:rPr>
            </w:pPr>
            <w:r>
              <w:rPr>
                <w:rFonts w:ascii="Times New Roman" w:hAnsi="Times New Roman"/>
                <w:sz w:val="24"/>
              </w:rPr>
              <w:t>Artigo 283.º do Regulamento (UE) n.º 575/2013</w:t>
            </w:r>
          </w:p>
          <w:p w14:paraId="72F05A01" w14:textId="77777777" w:rsidR="00EF74C7" w:rsidRPr="002A677E" w:rsidRDefault="00EF74C7" w:rsidP="00822842">
            <w:pPr>
              <w:rPr>
                <w:sz w:val="24"/>
              </w:rPr>
            </w:pPr>
            <w:r>
              <w:rPr>
                <w:rFonts w:ascii="Times New Roman" w:hAnsi="Times New Roman"/>
                <w:sz w:val="24"/>
              </w:rPr>
              <w:t>A instituição deve reportar as informações relevantes sobre os derivados, as operações de liquidação longa e as OFVM cujo valor das posições em risco a instituição tenha sido autorizada a determinar por meio do método dos modelos internos (MMI) em conformidade com o artigo 283.º do Regulamento (UE) n.º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Designadamente: Posições de risco específico de correlação desfavorável</w:t>
            </w:r>
          </w:p>
          <w:p w14:paraId="1013C757" w14:textId="77777777" w:rsidR="00EF74C7" w:rsidRPr="002A677E" w:rsidRDefault="00EF74C7" w:rsidP="00822842">
            <w:pPr>
              <w:rPr>
                <w:rFonts w:ascii="Times New Roman" w:hAnsi="Times New Roman"/>
                <w:sz w:val="24"/>
              </w:rPr>
            </w:pPr>
            <w:r>
              <w:rPr>
                <w:rFonts w:ascii="Times New Roman" w:hAnsi="Times New Roman"/>
                <w:sz w:val="24"/>
              </w:rPr>
              <w:t>Ver as instruções relativas à coluna 0120 no modelo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tratados com o método padrão para o risco de crédito</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Ver as instruções relativas à coluna 0180 no modelo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tratados com o método IRB para o risco de crédito</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Ver as instruções relativas à coluna 0190 no modelo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OTC</w:t>
            </w:r>
          </w:p>
          <w:p w14:paraId="0E8A5849" w14:textId="77777777" w:rsidR="00EF74C7" w:rsidRPr="002A677E" w:rsidRDefault="00EF74C7" w:rsidP="00822842">
            <w:pPr>
              <w:rPr>
                <w:rFonts w:ascii="Times New Roman" w:hAnsi="Times New Roman"/>
                <w:sz w:val="24"/>
              </w:rPr>
            </w:pPr>
            <w:r>
              <w:rPr>
                <w:rFonts w:ascii="Times New Roman" w:hAnsi="Times New Roman"/>
                <w:sz w:val="24"/>
              </w:rPr>
              <w:t>A instituição deve reportar as informações relevantes sobre os conjuntos de compensação unicamente compostos de derivados OTC ou operações de liquidação longa cujos valores das posições em risco tenha sido autorizada a determinar por meio do MMI discriminadas por categoria de ativos em relação ao subjacente (taxas de juro, divisas, crédito, títulos de capital, mercadorias ou outros).</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lastRenderedPageBreak/>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NEGOCIADOS EM BOLSA</w:t>
            </w:r>
          </w:p>
          <w:p w14:paraId="58D9B48E" w14:textId="77777777" w:rsidR="00EF74C7" w:rsidRPr="002A677E" w:rsidRDefault="00EF74C7" w:rsidP="00822842">
            <w:pPr>
              <w:rPr>
                <w:rFonts w:ascii="Times New Roman" w:hAnsi="Times New Roman"/>
                <w:sz w:val="24"/>
              </w:rPr>
            </w:pPr>
            <w:r>
              <w:rPr>
                <w:rFonts w:ascii="Times New Roman" w:hAnsi="Times New Roman"/>
                <w:sz w:val="24"/>
              </w:rPr>
              <w:t>A instituição deve reportar as informações relevantes sobre os conjuntos de compensação unicamente compostos de derivados negociados em bolsa ou operações de liquidação longa cujos valores das posições em risco tenha sido autorizada a determinar por meio do MMI discriminadas por categoria de ativos em relação ao subjacente (taxas de juro, divisas, crédito, títulos de capital, mercadorias ou outros).</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OPERAÇÕES DE FINANCIAMENTO ATRAVÉS DE VALORES MOBILIÁRIOS</w:t>
            </w:r>
          </w:p>
          <w:p w14:paraId="1CD88A29" w14:textId="77777777" w:rsidR="00EF74C7" w:rsidRPr="002A677E" w:rsidRDefault="00EF74C7" w:rsidP="00822842">
            <w:pPr>
              <w:rPr>
                <w:rFonts w:ascii="Times New Roman" w:hAnsi="Times New Roman"/>
                <w:sz w:val="24"/>
              </w:rPr>
            </w:pPr>
            <w:r>
              <w:rPr>
                <w:rFonts w:ascii="Times New Roman" w:hAnsi="Times New Roman"/>
                <w:sz w:val="24"/>
              </w:rPr>
              <w:t>A instituição deve reportar as informações relevantes sobre os conjuntos de compensação unicamente compostos de OFVM cujos valores das posições em risco tenha sido autorizada a determinar por meio do MMI discriminadas por tipo de subjacente na componente de valor mobiliário da OFVM (obrigações, títulos de capital ou outros).</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CONTRATUAL MULTIPRODUTO</w:t>
            </w:r>
          </w:p>
          <w:p w14:paraId="7F1F09BD" w14:textId="77777777" w:rsidR="00EF74C7" w:rsidRPr="002A677E" w:rsidRDefault="00EF74C7" w:rsidP="00822842">
            <w:pPr>
              <w:rPr>
                <w:rFonts w:ascii="Times New Roman" w:hAnsi="Times New Roman"/>
                <w:sz w:val="24"/>
              </w:rPr>
            </w:pPr>
            <w:r>
              <w:rPr>
                <w:rFonts w:ascii="Times New Roman" w:hAnsi="Times New Roman"/>
                <w:sz w:val="24"/>
              </w:rPr>
              <w:t>Ver as instruções relativas à coluna 0070 no modelo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Vinte principais contrapartes</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Generalidades</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126</w:t>
      </w:r>
      <w:r>
        <w:fldChar w:fldCharType="end"/>
      </w:r>
      <w:r>
        <w:t>. As instituições devem reportar as informações sobre as 20 principais contrapartes perante as quais têm o maior nível de posições em CCR. A classificação deve ser efetuada por meio dos valores das posições em CCR, reportados na coluna 0120 do presente modelo, de todos os conjuntos de compensação com as respetivas contrapartes. As posições em risco intragrupo ou outras posições em risco que deem origem a risco de crédito de contraparte, mas às quais as instituições atribuam um ponderador de risco igual a zero no cálculo dos requisitos de fundos próprios, em conformidade com o artigo 113.º, n.</w:t>
      </w:r>
      <w:r>
        <w:rPr>
          <w:vertAlign w:val="superscript"/>
        </w:rPr>
        <w:t>os</w:t>
      </w:r>
      <w:r>
        <w:t> 6 e 7, do Regulamento (UE) n.º 575/2013, devem ser tidas em conta ao determinar a lista das 20 principais contrapartes.</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127</w:t>
      </w:r>
      <w:r>
        <w:fldChar w:fldCharType="end"/>
      </w:r>
      <w:r>
        <w:t xml:space="preserve">. As instituições que aplicam o método padrão (SA-CCR) ou o método dos modelos internos (MMI) para o cálculo das posições em CCR nos termos da parte III, título II, capítulo 6, secções 3 e 6, do Regulamento (UE) n.º 575/2013, devem reportar este modelo trimestralmente. As instituições que aplicam o método padrão simplificado ou o método do risco inicial (OEM) para o cálculo das posições em CCR nos termos da parte III, título II, capítulo 6, secções 4 e 5, do Regulamento (UE) n.º 575/2013, devem reportar este modelo semestralmente. </w:t>
      </w:r>
      <w:bookmarkStart w:id="46" w:name="_Toc19715818"/>
      <w:r>
        <w:t>Instruções relativas a posições específicas</w:t>
      </w:r>
      <w:bookmarkEnd w:id="46"/>
      <w:r>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Instruções relativas a posições específicas</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Colunas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lastRenderedPageBreak/>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NOME</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Nome da contraparte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CÓDIGO</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 xml:space="preserve">O código como parte de um identificador de linha tem de ser único para cada entidade reportada. Para as instituições e as empresas de seguros o código é o código LEI. Para outras entidades, o código deve ser o código LEI ou, quando não disponível, um código nacional. O código deve ser único e utilizado de forma coerente em todos os modelos e ao longo do tempo. </w:t>
            </w:r>
            <w:r>
              <w:t>O código deve ter sempre um valor.</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TIPO DE CÓDIGO</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As instituições devem identificar o tipo de código reportado na</w:t>
            </w:r>
            <w:r>
              <w:rPr>
                <w:rStyle w:val="FormatvorlageInstructionsTabelleText"/>
                <w:rFonts w:ascii="Times New Roman" w:hAnsi="Times New Roman"/>
                <w:sz w:val="24"/>
              </w:rPr>
              <w:t xml:space="preserve"> coluna 0020 como «código LEI» ou «código nacional».</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O tipo de código deve ser sempre comunicado.</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CÓDIGO NACIONAL</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A instituição pode ainda reportar o código nacional se reportar o código LEI como identificador na coluna 0020 «Código».</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SETOR DA CONTRAPARTE</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Deve ser escolhido um setor para cada contraparte com base nas seguintes classes de setores económicos FINREP (ver o anexo V, parte 3, do presente Regulamento de Execução):</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rPr>
                <w:rFonts w:ascii="Times New Roman" w:hAnsi="Times New Roman"/>
                <w:sz w:val="24"/>
              </w:rPr>
              <w:tab/>
              <w:t>bancos centrais;</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administrações públicas,</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instituições de crédito;</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Empresas de investimento na aceção do artigo 4.º, n.º 1, ponto 2, do Regulamento (UE) n.º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outras sociedades financeiras (excluindo empresas de investimento),</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Empresas não financeiras.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TIPO DE CONTRAPARTE</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A instituição deve indicar o tipo de contraparte, entre os que se seguem:</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QCCP: caso a contraparte seja uma CCP qualificada;</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NÃO-QCCP: caso a contraparte seja uma CCP não qualificada;</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NÃO CCP: caso a contraparte não seja uma CCP.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RESIDÊNCIA DA CONTRAPARTE</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Deve utilizar-se o código ISO 3166-1-alfa-2 do país de constituição da contraparte (incluindo os códigos pseudo-ISO para organizações internacionais, disponíveis no “Vademecum da Balança de Pagamentos” do Eurostat, na sua última redação).</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lastRenderedPageBreak/>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NÚMERO DE OPERAÇÕES</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Ver as instruções relativas à coluna 0020 no modelo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MONTANTES NOCIONAIS</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Ver as instruções relativas à coluna 0030 no modelo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CORRENTE DE MERCADO (CMV), positivo</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Ver as instruções relativas à coluna 0040 no modelo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A instituição deve reportar a soma dos conjuntos de compensação com CMV positivo, caso haja diversos conjuntos de compensação para a mesma contraparte.</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CORRENTE DE MERCADO (CMV), negativo</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Ver as instruções relativas à coluna 0040 no modelo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A instituição deve reportar a soma absoluta dos conjuntos de compensação com CMV negativo, caso haja diversos conjuntos de compensação para a mesma contraparte.</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DAS POSIÇÕES EM RISCO PÓS-CRM</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Ver as instruções relativas à coluna 0160 no modelo C 34.02.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A instituição deve reportar a soma dos valores das posições em risco do conjunto de compensação pós-CRM, caso haja diversos conjuntos de compensação para a mesma contraparte.</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DAS POSIÇÕES EM RISCO</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Ver as instruções relativas à coluna 0170 no modelo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MONTANTES DAS POSIÇÕES PONDERADAS PELO RISCO</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Ver as instruções relativas à coluna 0200 no modelo C 34.02.</w:t>
            </w:r>
          </w:p>
        </w:tc>
      </w:tr>
    </w:tbl>
    <w:p w14:paraId="4CB615BB" w14:textId="77777777" w:rsidR="00EF74C7" w:rsidRPr="00441092"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Método IRB – Posições em CCR por classe de risco e escala de PD</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Generalidades</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128</w:t>
      </w:r>
      <w:r>
        <w:fldChar w:fldCharType="end"/>
      </w:r>
      <w:r>
        <w:t xml:space="preserve">. O presente modelo deve ser reportado pelas instituições que utilizem os métodos IRB avançado ou de base para calcular os montantes das posições ponderadas pelo risco relativos à totalidade ou a uma parte das suas posições em CCR em conformidade com o artigo 107.º do Regulamento (UE) n.º 575/2013, independentemente da abordagem para efeitos de CCR que utilizem para determinar os valores das posições em risco em conformidade com a parte III, título II, capítulos 4 e 6, do Regulamento (UE) n.º 575/2013.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129</w:t>
      </w:r>
      <w:r>
        <w:fldChar w:fldCharType="end"/>
      </w:r>
      <w:r>
        <w:t xml:space="preserve">. O modelo deve ser reportado separadamente para a totalidade ou para uma parte das classes de risco, bem como separadamente para cada classe de risco constante da lista do artigo 147.º do Regulamento (UE) n.º 575/2013. O modelo não engloba as posições em risco objeto de compensação através de uma CCP. </w:t>
      </w:r>
    </w:p>
    <w:p w14:paraId="606463EA" w14:textId="4FB3F052"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rsidRPr="002A677E">
        <w:t>130</w:t>
      </w:r>
      <w:r>
        <w:fldChar w:fldCharType="end"/>
      </w:r>
      <w:r>
        <w:t>. A fim de esclarecer se a instituição usa as suas estimativas próprias das LGD e/ou fatores de conversão de crédito, devem ser fornecidas as seguintes informações para cada classe de risco reportada:</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«NÃO» = caso sejam utilizadas estimativas de supervisão das LGD e dos fatores de conversão (método IRB de base)</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«SIM» = caso sejam utilizadas estimativas próprias das LGD e dos fatores de conversão (método IRB avançado)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Instruções relativas a posições específicas</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Colunas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das posições em risco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Valor das posições em risco (ver instruções relativas à coluna 0170 no modelo C 34.02), discriminado de acordo com a escala de PD.</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PD média ponderada pelas posições em risco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Média da PD de cada grau de devedor ponderada pelo respetivo valor das posições em risco na aceção aplicável na coluna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devedores </w:t>
            </w:r>
          </w:p>
          <w:p w14:paraId="75633515" w14:textId="77777777" w:rsidR="00EF74C7" w:rsidRPr="002A677E" w:rsidRDefault="00EF74C7" w:rsidP="00822842">
            <w:pPr>
              <w:rPr>
                <w:rFonts w:ascii="Times New Roman" w:hAnsi="Times New Roman"/>
                <w:sz w:val="24"/>
              </w:rPr>
            </w:pPr>
            <w:r>
              <w:rPr>
                <w:rFonts w:ascii="Times New Roman" w:hAnsi="Times New Roman"/>
                <w:sz w:val="24"/>
              </w:rPr>
              <w:t>O número de entidades jurídicas ou devedores afetados a cada escalão da escala de PD fixa, que foram objeto de notação separada, independentemente do número de diferentes posições em risco ou empréstimos concedidos.</w:t>
            </w:r>
          </w:p>
          <w:p w14:paraId="79F85080" w14:textId="77777777" w:rsidR="00EF74C7" w:rsidRPr="002A677E" w:rsidRDefault="00EF74C7" w:rsidP="00822842">
            <w:pPr>
              <w:rPr>
                <w:rFonts w:ascii="Times New Roman" w:hAnsi="Times New Roman"/>
                <w:sz w:val="24"/>
              </w:rPr>
            </w:pPr>
            <w:r>
              <w:rPr>
                <w:rFonts w:ascii="Times New Roman" w:hAnsi="Times New Roman"/>
                <w:sz w:val="24"/>
              </w:rPr>
              <w:t>Caso diversas posições em risco sobre o mesmo devedor sejam objeto de notação própria, estas devem ser contabilizadas separadamente. Tal situação pode surgir caso diferentes posições em risco sobre o mesmo devedor sejam afetadas a diferentes graus de devedores nos termos do artigo 172.º, n.º 1, segunda frase, alínea e), do Regulamento (UE) n.º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médias ponderadas pelas posições em risco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Média da LGD do grau de devedor ponderada pelo respetivo valor das posições em risco na aceção aplicável na coluna 0010.</w:t>
            </w:r>
          </w:p>
          <w:p w14:paraId="7080F0A6" w14:textId="080029A0" w:rsidR="00EF74C7" w:rsidRPr="002A677E" w:rsidRDefault="00EF74C7" w:rsidP="00822842">
            <w:pPr>
              <w:rPr>
                <w:rFonts w:ascii="Times New Roman" w:hAnsi="Times New Roman"/>
                <w:sz w:val="24"/>
              </w:rPr>
            </w:pPr>
            <w:r>
              <w:rPr>
                <w:rFonts w:ascii="Times New Roman" w:hAnsi="Times New Roman"/>
                <w:sz w:val="24"/>
              </w:rPr>
              <w:t>A LGD reportada deve corresponder à LGD estimada final utilizada no cálculo dos montantes das posições ponderadas pelo risco obtidos após consideração de quaisquer efeitos de CRM e de condições de recessão nos termos da parte III, título II, capítulos 3 e 4, do Regulamento (UE) n.º 575/2013, se for caso disso. Mais particularmente, no caso das instituições que aplicam o método IRB mas não usam estimativas próprias das LGD, os efeitos de redução do risco de cauções financeiras são refletidos em E*, o valor totalmente ajustado das posições em risco, e depois refletidos nas LGD* de acordo com o artigo 230.</w:t>
            </w:r>
            <w:r>
              <w:rPr>
                <w:rFonts w:ascii="Times New Roman" w:hAnsi="Times New Roman"/>
                <w:sz w:val="24"/>
                <w:vertAlign w:val="superscript"/>
              </w:rPr>
              <w:t>o</w:t>
            </w:r>
            <w:r>
              <w:rPr>
                <w:rFonts w:ascii="Times New Roman" w:hAnsi="Times New Roman"/>
                <w:sz w:val="24"/>
              </w:rPr>
              <w:t>, do Regulamento (UE) n.</w:t>
            </w:r>
            <w:r>
              <w:rPr>
                <w:rFonts w:ascii="Times New Roman" w:hAnsi="Times New Roman"/>
                <w:sz w:val="24"/>
                <w:vertAlign w:val="superscript"/>
              </w:rPr>
              <w:t>o</w:t>
            </w:r>
            <w:r>
              <w:rPr>
                <w:rFonts w:ascii="Times New Roman" w:hAnsi="Times New Roman"/>
                <w:sz w:val="24"/>
              </w:rPr>
              <w:t xml:space="preserve"> 575/2013. Se forem utilizadas estimativas próprias das LGD, deve ser considerado o artigo 175.º e o artigo 181.º, n.</w:t>
            </w:r>
            <w:r>
              <w:rPr>
                <w:rFonts w:ascii="Times New Roman" w:hAnsi="Times New Roman"/>
                <w:sz w:val="24"/>
                <w:vertAlign w:val="superscript"/>
              </w:rPr>
              <w:t>os</w:t>
            </w:r>
            <w:r>
              <w:rPr>
                <w:rFonts w:ascii="Times New Roman" w:hAnsi="Times New Roman"/>
                <w:sz w:val="24"/>
              </w:rPr>
              <w:t> 1 e 2, do Regulamento (UE) n.º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lastRenderedPageBreak/>
              <w:t>No caso das posições em risco sujeitas ao tratamento do duplo incumprimento, a LGD a reportar deve corresponder à selecionada de acordo com o artigo 161.º, n.º 4, do Regulamento (UE) n.º 575/2013.</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Para as posições em risco em situação de incumprimento segundo o método A-IRB, devem ser tidas em conta as disposições do artigo 181.º, n.º 1, alínea h), do Regulamento (UE) n.º 575/2013. A LGD reportada deve corresponder à estimativa de LGD em incumprimento.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Prazo médio de vencimento ponderado pelas posições em risco (anos)</w:t>
            </w:r>
          </w:p>
          <w:p w14:paraId="32B69B7E"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Média</w:t>
            </w:r>
            <w:r>
              <w:rPr>
                <w:rFonts w:ascii="Times New Roman" w:hAnsi="Times New Roman"/>
                <w:sz w:val="24"/>
              </w:rPr>
              <w:t xml:space="preserve"> do prazo de vencimento dos devedores em anos ponderada pelo respetivo valor das posições em risco na aceção aplicável na coluna 0010.</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O prazo de vencimento deve ser determinado em conformidade com o artigo 162.º do Regulamento (UE) n.º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Montantes das posições ponderadas pelo risco</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Montantes das posições ponderadas pelo risco, de acordo com o artigo 92.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3, do Regulamento (UE) n.</w:t>
            </w:r>
            <w:r>
              <w:rPr>
                <w:rFonts w:ascii="Times New Roman" w:hAnsi="Times New Roman"/>
                <w:sz w:val="24"/>
                <w:vertAlign w:val="superscript"/>
              </w:rPr>
              <w:t>o</w:t>
            </w:r>
            <w:r>
              <w:rPr>
                <w:rFonts w:ascii="Times New Roman" w:hAnsi="Times New Roman"/>
                <w:sz w:val="24"/>
              </w:rPr>
              <w:t xml:space="preserve"> 575/2013, para as posições cujos ponderadores de risco sejam estimados com base nos requisitos estabelecidos na parte III, título II, capítulo 3, do Regulamento (UE) n.º 575/2013 e cujos valores das posições em risco para a atividade relacionada com o CCR sejam calculados de acordo com a parte III, título II, capítulos 4 e 6, do mesmo regulamento.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Devem ser tidos em conta os fatores de apoio às PME e à infraestrutura estabelecidos nos artigos 501.º e 501.º-A do Regulamento (UE) n.º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Densidade dos montantes das posições ponderadas pelo risco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Rácio dos montantes totais das posições ponderadas pelo risco (reportados na coluna 0060) em relação ao valor das posições em risco (reportado na coluna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Linhas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Escala de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 xml:space="preserve">As posições em CCR (determinadas a nível da contraparte) devem ser afetadas ao escalão adequado da escala fixa de PD com base na PD estimada para cada devedor afetado a essa classe de risco (não tendo em conta qualquer substituição devida à existência de uma garantia ou um derivado de crédito). As instituições devem afetar cada posição em risco à escala de PD constante do modelo, tendo igualmente em conta as escalas contínuas. </w:t>
            </w:r>
            <w:r>
              <w:t>Todas as posições em risco em situação de incumprimento devem ser incluídas no escalão que representa a PD de 100 %.</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Composição da caução para posições em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Generalidades</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131</w:t>
      </w:r>
      <w:r>
        <w:fldChar w:fldCharType="end"/>
      </w:r>
      <w:r>
        <w:t xml:space="preserve">. O presente modelo deve ser preenchido com recurso ao justo valor das cauções (concedidas ou recebidas) utilizadas em posições em CCR relacionadas com operações sobre derivados, operações de liquidação longa ou OFVM, independentemente de as operações serem ou não objeto de compensação através de uma CCP e de a caução ser concedida ou não a uma CCP.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Instruções relativas a posições específicas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Colunas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Cauções utilizadas em operações de derivados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As instituições devem reportar a caução (incluindo a margem inicial e a caução da margem de variação) utilizada em posições em CCR relacionadas com qualquer instrumento derivado constante da lista do anexo II do Regulamento (UE) n.º 575/2013 ou operação de liquidação longa na aceção do artigo 272.º, n.º 2, do referido regulamento que não seja considerada uma OFVM.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Cauções utilizadas em SFT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As instituições devem reportar a caução (incluindo a margem inicial e a caução da margem de variação, bem como a caução sob a forma de valor mobiliário na OFVM) utilizada em posições em CCR relacionadas com qualquer OFVM ou operação de liquidação longa que não seja considerada um derivado.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Segregadas</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Artigo 300.</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1, do Regulamento (UE) n.</w:t>
            </w:r>
            <w:r>
              <w:rPr>
                <w:rFonts w:ascii="Times New Roman" w:hAnsi="Times New Roman"/>
                <w:sz w:val="24"/>
                <w:vertAlign w:val="superscript"/>
              </w:rPr>
              <w:t>o</w:t>
            </w:r>
            <w:r>
              <w:rPr>
                <w:rFonts w:ascii="Times New Roman" w:hAnsi="Times New Roman"/>
                <w:sz w:val="24"/>
              </w:rPr>
              <w:t xml:space="preserve">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As instituições devem reportar a caução detida em situação de falência remota na aceção do artigo 300.º, n.º 1, do Regulamento (UE) n.º 575/2013, e discriminada pela caução sob a forma de margem inicial ou margem de variação.</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Não segregadas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Artigo 300.</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1, do Regulamento (UE) n.</w:t>
            </w:r>
            <w:r>
              <w:rPr>
                <w:rFonts w:ascii="Times New Roman" w:hAnsi="Times New Roman"/>
                <w:sz w:val="24"/>
                <w:vertAlign w:val="superscript"/>
              </w:rPr>
              <w:t>o</w:t>
            </w:r>
            <w:r>
              <w:rPr>
                <w:rFonts w:ascii="Times New Roman" w:hAnsi="Times New Roman"/>
                <w:sz w:val="24"/>
              </w:rPr>
              <w:t xml:space="preserve">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As instituições devem reportar a caução detida em situação de falência remota na aceção do artigo 300.º, n.º 1, do Regulamento (UE) n.º 575/2013, e discriminada pela caução sob a forma de margem inicial, margem de variação e valor mobiliário de OFVM.</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Margem inicial</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Artigo 4.º, n.º 1, ponto 140, do Regulamento (UE) n.º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As instituições devem reportar o justo valor das cauções recebidas ou concedidas sob a forma de margem inicial (na aceção do artigo 4.º, n.º 1, ponto 140, do Regulamento (UE) n.º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lastRenderedPageBreak/>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Margem de variação</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As instituições devem reportar o justo valor das cauções recebidas ou concedidas sob a forma de margem de variação.</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mobiliário de OFVM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As instituições devem reportar o justo valor das cauções sob a forma de valor mobiliário em OFVM (p. ex., a componente relativa ao valor mobiliário de OFVM recebida para a coluna 0130 ou concedida para a coluna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Linhas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caução</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Discriminação de acordo com os diversos tipos de caução</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Posições em risco sobre derivados de crédito</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Instruções relativas a posições específicas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Colunas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PROTEÇÃO DOS DERIVADOS DE CRÉDITO</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Proteção adquirida ou vendida para derivados de crédito</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MONTANTES NOCIONAIS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Soma dos montantes nocionais de derivados antes de qualquer compensação, discriminados por tipo de produto.</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JUSTO VALOR</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Soma dos valores justos discriminados por proteção adquirida e proteção vendida.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Linhas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produtos</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Discriminação dos tipos de produto de derivados de crédito.</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Soma de todos os tipos de produto</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Justos valores</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lastRenderedPageBreak/>
              <w:t>Discriminação dos valores justos por tipo de produto, bem como por ativos (justo valor positivo) e passivos (justo valor negativo).</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Posições em risco sobre CCP</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Generalidades</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132</w:t>
      </w:r>
      <w:r>
        <w:fldChar w:fldCharType="end"/>
      </w:r>
      <w:r>
        <w:t xml:space="preserve">. As instituições devem reportar as informações sobre exposições a CCP, ou seja, a contratos e operações enunciadas no artigo 301.º, n.º 1, do Regulamento (UE) n.º 575/2013 enquanto estejam por liquidar junto de uma CCP e posições em risco decorrentes de operações relacionadas com uma CCP, na aceção do artigo 300.º, ponto 2, do Regulamento (UE) n.º 575/2013, cujos requisitos de fundos próprios sejam calculados de acordo com a parte III, título II, capítulo 6, secção 9, do mesmo regulamento.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Instruções relativas a posições específicas</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Colunas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VALOR DAS POSIÇÕES EM RISCO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Valor das posições em risco para operações abrangidas pela parte III, título II, capítulo 6, secção 9, do Regulamento (UE) n.º 575/2013 calculado em conformidade com os métodos relevantes estabelecidos no referido capítulo e, em especial, na secção 9 do mesmo.</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O valor das posições em risco reportado é o montante relevante para o cálculo dos requisitos de fundos próprios de acordo com a parte III, título II, capítulo 6, secção 9, do Regulamento (UE) n.º 575/2013, tendo em conta os requisitos constantes do artigo 497.º do referido regulamento durante o período transitório previsto no referido artigo.</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Uma posição em risco pode ser uma posição em risco comercial na aceção do artigo 4.º, n.º 1, ponto 91, do Regulamento (UE) n.º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MONTANTES DAS POSIÇÕES PONDERADAS PELO RISCO</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Montantes das posições ponderadas pelo risco determinados de acordo com a parte III, título II, capítulo 6, secção 9, do Regulamento (UE) n.º 575/2013, tendo em conta os requisitos constantes do artigo 497.º do referido regulamento durante o período transitório previsto no referido artigo.</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Linhas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CCP qualificada (QCCP)</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Contraparte central qualificada ou «QCCP» na aceção do artigo 4.º, n.º 1, ponto 88, do Regulamento (UE) n.º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lastRenderedPageBreak/>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Margem inicial</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Ver as instruções relativas ao modelo C 34.08.</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Para efeitos do presente modelo, a margem inicial não inclui as contribuições para uma CCP a título de acordos de partilha de perdas mutualizados (ou seja, nos casos em que uma CCP utiliza a margem inicial para mutualizar as perdas entre os membros compensadores, deve ser tratada como uma posição em risco sobre fundos de incumprimento).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Contribuições pré-financiadas para o fundo de proteção</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Artigos 308.º e 309.º do Regulamento (UE) n.º 575/2013; Fundo de proteção na aceção do artigo 4.º, n.º 1, ponto 89, do Regulamento (UE) n.º 575/2013; a contribuição para o fundo de incumprimento de uma CCP paga pela instituição.</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Contribuições não financiadas para o fundo de proteção</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Artigos 309.º e 310.º do Regulamento (UE) n.º 575/2013; Fundo de proteção na aceção do artigo 4.º, n.º 1, ponto 89, do Regulamento (UE) n.º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As instituições devem reportar as contribuições que uma instituição que atue na qualidade de membro compensador esteja contratualmente obrigada a efetuar para uma CCP depois de essa CCP ter esgotado o seu fundo de incumprimento para cobrir as suas perdas decorrentes do incumprimento de um ou mais dos seus membros compensadores.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Segregadas</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Ver as instruções relativas ao modelo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Não segregadas</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Ver as instruções relativas ao modelo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Demonstrações de fluxos dos montantes das posições ponderadas pelo risco (RWEA) relativos a posições em CCR de acordo com o MMI</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Generalidades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133</w:t>
      </w:r>
      <w:r>
        <w:fldChar w:fldCharType="end"/>
      </w:r>
      <w:r>
        <w:t>. As instituições que utilizam o MMI para calcular os montantes das posições ponderadas pelo risco relativos à totalidade ou a uma parte das suas posições em CCR em conformidade com a parte III, título II, capítulo 6, do Regulamento (UE) n.º 575/2013, independentemente do método para risco de crédito utilizado para determinar os respetivos ponderadores de risco, devem reportar no presente modelo as demonstrações de fluxos que explicam as alterações dos montantes das posições ponderadas pelo risco de derivados e OFVM abrangidos pelo MMI discriminadas em função dos principais fatores e assentes em estimativas razoáveis.</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134</w:t>
      </w:r>
      <w:r>
        <w:fldChar w:fldCharType="end"/>
      </w:r>
      <w:r>
        <w:t xml:space="preserve">. As instituições que relatem o presente modelo trimestralmente, devem preencher apenas a coluna 0010. As instituições que relatem o presente modelo anualmente, devem preencher apenas a coluna 0020. </w:t>
      </w:r>
    </w:p>
    <w:p w14:paraId="618242D4" w14:textId="24BF40AD"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rsidRPr="002A677E">
        <w:t>135</w:t>
      </w:r>
      <w:r>
        <w:fldChar w:fldCharType="end"/>
      </w:r>
      <w:r>
        <w:t>. O presente modelo não abrange os montantes das posições ponderadas pelo risco relativamente a posições em risco sobre uma contraparte central (parte III, título II, capítulo 6, secção 9, do Regulamento (UE) n.º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Instruções relativas a posições específicas</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Colunas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MONTANTES DAS POSIÇÕES PONDERADAS PELO RISCO</w:t>
            </w:r>
          </w:p>
          <w:p w14:paraId="0630F3A5" w14:textId="03B5FB80" w:rsidR="00EF74C7" w:rsidRPr="002A677E" w:rsidRDefault="00EF74C7" w:rsidP="00822842">
            <w:pPr>
              <w:rPr>
                <w:rFonts w:ascii="Times New Roman" w:hAnsi="Times New Roman"/>
                <w:sz w:val="24"/>
              </w:rPr>
            </w:pPr>
            <w:r>
              <w:rPr>
                <w:rFonts w:ascii="Times New Roman" w:hAnsi="Times New Roman"/>
                <w:sz w:val="24"/>
              </w:rPr>
              <w:t>Montantes das posições ponderadas pelo risco, de acordo com o artigo 92.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3, do Regulamento (UE) n.</w:t>
            </w:r>
            <w:r>
              <w:rPr>
                <w:rFonts w:ascii="Times New Roman" w:hAnsi="Times New Roman"/>
                <w:sz w:val="24"/>
                <w:vertAlign w:val="superscript"/>
              </w:rPr>
              <w:t>o</w:t>
            </w:r>
            <w:r>
              <w:rPr>
                <w:rFonts w:ascii="Times New Roman" w:hAnsi="Times New Roman"/>
                <w:sz w:val="24"/>
              </w:rPr>
              <w:t xml:space="preserve"> 575/2013, para as posições cujos ponderadores de risco sejam estimados com base nos requisitos estabelecidos na parte III, título II, capítulos 2 e 3, do Regulamento (UE) n.</w:t>
            </w:r>
            <w:r>
              <w:rPr>
                <w:rFonts w:ascii="Times New Roman" w:hAnsi="Times New Roman"/>
                <w:sz w:val="24"/>
                <w:vertAlign w:val="superscript"/>
              </w:rPr>
              <w:t>o</w:t>
            </w:r>
            <w:r>
              <w:rPr>
                <w:rFonts w:ascii="Times New Roman" w:hAnsi="Times New Roman"/>
                <w:sz w:val="24"/>
              </w:rPr>
              <w:t xml:space="preserve"> 575/2013 e relativamente aos quais a instituição foi autorizada a calcular o valor das posições em risco utilizando o método dos modelos internos de acordo com a parte III, título II, capítulo 6, secção 6, do mesmo regulamento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Devem ser tidos em conta os fatores de apoio às PME e à infraestrutura estabelecidos nos artigos 501.º e 501.º-A do Regulamento (UE) n.º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Linhas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 no final do período de reporte anterior</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O montante das posições ponderadas pelo risco relativos a posições em CCR de acordo com o MMI no final do período de reporte anterior.</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 dos ativos</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Alterações do montante das posições ponderadas pelo risco (positivas ou negativas) devidas a alterações da dimensão e composição da carteira (incluindo originação de novas atividades e posições em risco próximas do vencimento), mas excluindo as alterações da dimensão da carteira devidas a aquisições e alienações de entidades.</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Qualidade de crédito das contrapartes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Alterações do montante das posições ponderadas pelo risco (positivas ou negativas) devidas a alterações da qualidade avaliada das contrapartes da instituição aferida no quadro de risco de crédito, independentemente do método utilizado pela instituição. Esta linha inclui ainda potenciais alterações do montante das posições ponderadas pelo risco devidas aos modelos IRB, caso a instituição utilize o método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Atualizações dos modelos (apenas IMM)</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As alterações do montante das posições ponderadas pelo risco (positivas ou negativas) devidas à aplicação do modelo, às alterações do âmbito do modelo ou a quaisquer alterações destinadas a colmatar debilidades do modelo.</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Esta linha diz apenas respeito às alterações do modelo do MMI.</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e políticas (apenas IMM)</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Alterações do montante das posições ponderadas pelo risco (positivas ou negativas) devidas a alterações metodológicas nos cálculos decorrentes de alterações das políticas de regulação, como nova regulamentação (apenas no modelo do MMI).</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Aquisições e alienações</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Alterações do montante das posições ponderadas pelo risco (positivas ou negativas) devidas a alterações da dimensão da carteira devidas a aquisições e alienações de entidades.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Movimentos cambiais</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Alterações do montante das posições ponderadas pelo risco (positivas ou negativas) devidas a alterações decorrentes de operações de conversão cambial.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Outro</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Esta categoria deve ser utilizada para englobar as alterações do montante das posições ponderadas pelo risco (positivas ou negativas) que não possam ser atribuídas às categorias acima.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 no final do atual período de reporte</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O montante das posições ponderadas pelo risco relativos a posições em CCR de acordo com o MMI no final do atual período de reporte.</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441092"/>
    <w:rsid w:val="00631623"/>
    <w:rsid w:val="00632962"/>
    <w:rsid w:val="00793BDE"/>
    <w:rsid w:val="007D3B3D"/>
    <w:rsid w:val="00A6002C"/>
    <w:rsid w:val="00B5223F"/>
    <w:rsid w:val="00B71F25"/>
    <w:rsid w:val="00BD63AA"/>
    <w:rsid w:val="00D57F80"/>
    <w:rsid w:val="00DE7FB9"/>
    <w:rsid w:val="00E26A90"/>
    <w:rsid w:val="00E66A8D"/>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pt-PT"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pt-PT"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pt-PT"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pt-PT"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pt-PT"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pt-PT"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pt-PT"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pt-PT"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pt-PT"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pt-PT"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pt-PT"/>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2.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F1FE3B61-12E6-4E6E-8E12-42C91E1B371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27</Pages>
  <Words>8988</Words>
  <Characters>46922</Characters>
  <Application>Microsoft Office Word</Application>
  <DocSecurity>0</DocSecurity>
  <Lines>1173</Lines>
  <Paragraphs>716</Paragraphs>
  <ScaleCrop>false</ScaleCrop>
  <Company>European Banking Authority</Company>
  <LinksUpToDate>false</LinksUpToDate>
  <CharactersWithSpaces>55194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ROQUE Beatriz (DGT)</cp:lastModifiedBy>
  <cp:revision>5</cp:revision>
  <dcterms:created xsi:type="dcterms:W3CDTF">2024-06-19T16:03:00Z</dcterms:created>
  <dcterms:modified xsi:type="dcterms:W3CDTF">2025-01-27T13:24:00Z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2025-01-27T13:24:52Z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b319100a-ffb7-41d5-aa70-bed37821d768</vt:lpwstr>
  </property>
  <property fmtid="{D5CDD505-2E9C-101B-9397-08002B2CF9AE}" pid="12" name="MSIP_Label_6bd9ddd1-4d20-43f6-abfa-fc3c07406f94_ContentBits">
    <vt:lpwstr>0</vt:lpwstr>
  </property>
</Properties>
</file>